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F167EB" w:rsidRDefault="00104D69" w:rsidP="00F167EB">
      <w:pPr>
        <w:spacing w:before="199"/>
        <w:ind w:left="1582"/>
        <w:rPr>
          <w:b/>
          <w:color w:val="FFFFFF"/>
          <w:sz w:val="23"/>
        </w:rPr>
      </w:pPr>
      <w:proofErr w:type="spellStart"/>
      <w:r>
        <w:rPr>
          <w:b/>
          <w:color w:val="FFFFFF"/>
          <w:sz w:val="23"/>
        </w:rPr>
        <w:t>I</w:t>
      </w:r>
      <w:r w:rsidR="00F167EB">
        <w:rPr>
          <w:b/>
          <w:color w:val="FFFFFF"/>
          <w:sz w:val="23"/>
        </w:rPr>
        <w:t>n</w:t>
      </w:r>
      <w:r w:rsidR="00E50C1D">
        <w:rPr>
          <w:b/>
          <w:sz w:val="23"/>
        </w:rPr>
        <w:t>CUMPLIMENTAR</w:t>
      </w:r>
      <w:proofErr w:type="spellEnd"/>
      <w:r w:rsidR="00E50C1D">
        <w:rPr>
          <w:b/>
          <w:sz w:val="23"/>
        </w:rPr>
        <w:t xml:space="preserve"> EN CASO DE IMPUTAR COSTES INDIRECTOS AL PRESUPUESTO DE GASTOS </w:t>
      </w:r>
      <w:r w:rsidR="00F167EB">
        <w:rPr>
          <w:b/>
          <w:sz w:val="23"/>
        </w:rPr>
        <w:t>SUBVENCIONABLES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>
            <w:bookmarkStart w:id="0" w:name="_GoBack"/>
            <w:bookmarkEnd w:id="0"/>
          </w:p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F167EB" w:rsidRDefault="00F167EB"/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584795" w:rsidP="00584795">
    <w:pPr>
      <w:pStyle w:val="Encabezado"/>
      <w:tabs>
        <w:tab w:val="clear" w:pos="4252"/>
        <w:tab w:val="clear" w:pos="8504"/>
        <w:tab w:val="left" w:pos="2788"/>
      </w:tabs>
    </w:pPr>
    <w:r>
      <w:rPr>
        <w:rFonts w:ascii="Times New Roman"/>
        <w:noProof/>
        <w:position w:val="1"/>
        <w:sz w:val="20"/>
        <w:lang w:eastAsia="es-ES"/>
      </w:rPr>
      <w:drawing>
        <wp:inline distT="0" distB="0" distL="0" distR="0" wp14:anchorId="29CD2177" wp14:editId="3D89A3AE">
          <wp:extent cx="1012629" cy="382714"/>
          <wp:effectExtent l="0" t="0" r="0" b="0"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2629" cy="382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8D26CB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Anexo I</w:t>
                          </w:r>
                          <w:r w:rsidR="00F167EB">
                            <w:rPr>
                              <w:b/>
                              <w:color w:val="FFFFFF"/>
                              <w:sz w:val="23"/>
                            </w:rPr>
                            <w:t>I   Criterio utilizado para la imputación de costes indirectos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8D26CB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Anexo I</w:t>
                    </w:r>
                    <w:r w:rsidR="00F167EB">
                      <w:rPr>
                        <w:b/>
                        <w:color w:val="FFFFFF"/>
                        <w:sz w:val="23"/>
                      </w:rPr>
                      <w:t>I   Criterio utilizado para la imputación de costes indirectos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4B67CA"/>
    <w:rsid w:val="00584795"/>
    <w:rsid w:val="00650E8A"/>
    <w:rsid w:val="00893AC0"/>
    <w:rsid w:val="008D26CB"/>
    <w:rsid w:val="009F7EEF"/>
    <w:rsid w:val="00A71C4E"/>
    <w:rsid w:val="00D301C6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4FA41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12</cp:revision>
  <cp:lastPrinted>2022-07-07T07:23:00Z</cp:lastPrinted>
  <dcterms:created xsi:type="dcterms:W3CDTF">2022-03-23T12:14:00Z</dcterms:created>
  <dcterms:modified xsi:type="dcterms:W3CDTF">2023-03-07T12:31:00Z</dcterms:modified>
</cp:coreProperties>
</file>